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84" w:rsidRPr="00137984" w:rsidRDefault="00137984" w:rsidP="00137984">
      <w:pPr>
        <w:jc w:val="center"/>
        <w:rPr>
          <w:lang w:val="uz-Cyrl-UZ"/>
        </w:rPr>
      </w:pPr>
      <w:r>
        <w:rPr>
          <w:lang w:val="uz-Cyrl-UZ"/>
        </w:rPr>
        <w:t>0</w:t>
      </w:r>
      <w:r w:rsidR="0066490F">
        <w:rPr>
          <w:lang w:val="uz-Cyrl-UZ"/>
        </w:rPr>
        <w:t>6</w:t>
      </w:r>
      <w:r>
        <w:rPr>
          <w:lang w:val="uz-Cyrl-UZ"/>
        </w:rPr>
        <w:t>-сон муҳм факт.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4877"/>
        <w:gridCol w:w="5597"/>
        <w:gridCol w:w="34"/>
      </w:tblGrid>
      <w:tr w:rsidR="00CE27B5" w:rsidTr="00CE27B5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НАИМЕНОВАНИЕ ЭМИТЕНТА</w:t>
            </w:r>
          </w:p>
        </w:tc>
      </w:tr>
      <w:tr w:rsidR="00CE27B5" w:rsidRPr="00CE27B5" w:rsidTr="00CE27B5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P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CE27B5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aksiyadorlik jamiyati</w:t>
            </w:r>
          </w:p>
        </w:tc>
      </w:tr>
      <w:tr w:rsidR="00CE27B5" w:rsidRPr="00CE27B5" w:rsidTr="00CE27B5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P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</w:pPr>
            <w:r w:rsidRPr="00CE27B5">
              <w:rPr>
                <w:rFonts w:ascii="OpenSansRegular" w:hAnsi="OpenSansRegular"/>
                <w:color w:val="333333"/>
                <w:sz w:val="21"/>
                <w:szCs w:val="21"/>
                <w:lang w:val="en-US"/>
              </w:rPr>
              <w:t>"Chorsu buyum savdo kompleksi" AJ</w:t>
            </w:r>
          </w:p>
        </w:tc>
      </w:tr>
      <w:tr w:rsidR="00CE27B5" w:rsidTr="00CE27B5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Наименование биржевого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тикера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Нет</w:t>
            </w:r>
          </w:p>
        </w:tc>
      </w:tr>
      <w:tr w:rsidR="00CE27B5" w:rsidTr="00CE27B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КОНТАКТНЫЕ ДАННЫЕ</w:t>
            </w: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г. Ташкент,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Шайхантахурский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4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info@chorsubsk.uz</w:t>
              </w:r>
            </w:hyperlink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hyperlink r:id="rId5" w:tgtFrame="_blank" w:history="1">
              <w:r>
                <w:rPr>
                  <w:rStyle w:val="a4"/>
                  <w:rFonts w:ascii="OpenSansRegular" w:hAnsi="OpenSansRegular"/>
                  <w:color w:val="337AB7"/>
                  <w:sz w:val="21"/>
                  <w:szCs w:val="21"/>
                </w:rPr>
                <w:t>www.chorsubsk.uz</w:t>
              </w:r>
            </w:hyperlink>
          </w:p>
        </w:tc>
      </w:tr>
      <w:tr w:rsidR="00CE27B5" w:rsidTr="00CE27B5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pStyle w:val="text-center"/>
              <w:spacing w:before="0" w:beforeAutospacing="0" w:after="0" w:afterAutospacing="0"/>
              <w:jc w:val="center"/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</w:rPr>
              <w:t>ИНФОРМАЦИЯ О СУЩЕСТВЕННОМ ФАКТЕ</w:t>
            </w: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6</w:t>
            </w: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Решения, принятые высшим органом управления эмитента</w:t>
            </w: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годовое</w:t>
            </w: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14.04.2021</w:t>
            </w: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20.04.2021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B5" w:rsidRDefault="00CE27B5">
            <w:pPr>
              <w:rPr>
                <w:sz w:val="20"/>
                <w:szCs w:val="20"/>
              </w:rPr>
            </w:pP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г.Ташкент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Шайхонтохурский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ул.Заркайнар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1</w:t>
            </w:r>
          </w:p>
        </w:tc>
      </w:tr>
      <w:tr w:rsidR="00CE27B5" w:rsidTr="00CE27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96,69</w:t>
            </w:r>
          </w:p>
        </w:tc>
      </w:tr>
      <w:tr w:rsidR="00CE27B5" w:rsidTr="00CE27B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7996"/>
              <w:gridCol w:w="741"/>
              <w:gridCol w:w="1302"/>
              <w:gridCol w:w="398"/>
              <w:gridCol w:w="1302"/>
              <w:gridCol w:w="398"/>
              <w:gridCol w:w="1302"/>
            </w:tblGrid>
            <w:tr w:rsidR="00CE27B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Итоги голосования</w:t>
                  </w:r>
                </w:p>
              </w:tc>
            </w:tr>
            <w:tr w:rsidR="00CE27B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воздержались</w:t>
                  </w:r>
                </w:p>
              </w:tc>
            </w:tr>
            <w:tr w:rsidR="00CE27B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количество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ижроия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ҳисоботини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ривожлантириш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стратегиясига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эришиш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кўрилаётган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чора-тадбирлар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тўғрисидаги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ҳисоботларини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эшитиш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2020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молиявий-хўжалик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ташқи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аудиторлик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текшируви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чиқиш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ваколат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доирасига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кирадиган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масалалар</w:t>
                  </w:r>
                  <w:proofErr w:type="spellEnd"/>
                  <w:r>
                    <w:t xml:space="preserve">, шу </w:t>
                  </w:r>
                  <w:proofErr w:type="spellStart"/>
                  <w:r>
                    <w:t>жумладан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қонун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ҳужжатларида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талабларга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риоя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этилиши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хулосалари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2020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ҳисоботини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2020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фойда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зарарлари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ҳисоб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варағини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фойдасини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тақсимлаш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2021 </w:t>
                  </w:r>
                  <w:proofErr w:type="spellStart"/>
                  <w:r>
                    <w:t>йилга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мўлжалланган</w:t>
                  </w:r>
                  <w:proofErr w:type="spellEnd"/>
                  <w:r>
                    <w:t xml:space="preserve"> «Бизнес-</w:t>
                  </w:r>
                  <w:proofErr w:type="spellStart"/>
                  <w:r>
                    <w:t>режаси»ни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ҳамда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Даромадлар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харажатлар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сметаси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режаси”ни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меҳнат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шартномаси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муддатини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узайтириш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ҳақида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ўтказилган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Корпоратив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тизимини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баҳолаш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натижаларини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чиқиш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2021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Аудиторини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унга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тўланадиган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хизмат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ҳақининг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кўп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миқдори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чегарасини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янги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тахрирдаги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уставини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тасдиқлаш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B5" w:rsidRDefault="00CE27B5">
            <w:pPr>
              <w:rPr>
                <w:sz w:val="20"/>
                <w:szCs w:val="20"/>
              </w:rPr>
            </w:pPr>
          </w:p>
        </w:tc>
      </w:tr>
      <w:tr w:rsidR="00CE27B5" w:rsidTr="00CE27B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3439"/>
            </w:tblGrid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rPr>
                      <w:sz w:val="24"/>
                      <w:szCs w:val="24"/>
                    </w:rPr>
                  </w:pPr>
                  <w: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Полные формулировки решений, принятых общим собранием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ижроия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хисоботи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ривожлантириш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стратегиясига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эришиш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кўрилаётган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чора-тадбирлар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тўғрисидаги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хисоботлари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Жамиятнинг</w:t>
                  </w:r>
                  <w:proofErr w:type="spellEnd"/>
                  <w:r>
                    <w:t xml:space="preserve"> 2020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молиявий-хўжалик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ташқи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аудиторлик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текшируви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ўз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ваколат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доирасига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кирадиган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масалалар</w:t>
                  </w:r>
                  <w:proofErr w:type="spellEnd"/>
                  <w:r>
                    <w:t xml:space="preserve">, шу </w:t>
                  </w:r>
                  <w:proofErr w:type="spellStart"/>
                  <w:r>
                    <w:t>жумладан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қонун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ҳужжатларида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талабларга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риоя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этилиши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юзасидан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хулосалари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 xml:space="preserve">2020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бўйича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йиллик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хисоботи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тасдиқлансин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Жамиятнинг</w:t>
                  </w:r>
                  <w:proofErr w:type="spellEnd"/>
                  <w:r>
                    <w:t xml:space="preserve"> 2020 </w:t>
                  </w:r>
                  <w:proofErr w:type="spellStart"/>
                  <w:r>
                    <w:t>йилни</w:t>
                  </w:r>
                  <w:proofErr w:type="spellEnd"/>
                  <w:r>
                    <w:t xml:space="preserve"> 612125,6 </w:t>
                  </w:r>
                  <w:proofErr w:type="spellStart"/>
                  <w:r>
                    <w:t>минг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сум</w:t>
                  </w:r>
                  <w:proofErr w:type="spellEnd"/>
                  <w:r>
                    <w:t xml:space="preserve"> соф </w:t>
                  </w:r>
                  <w:proofErr w:type="spellStart"/>
                  <w:r>
                    <w:t>фойда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билан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якунлагани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инобатга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олинсин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жамиятнинг</w:t>
                  </w:r>
                  <w:proofErr w:type="spellEnd"/>
                  <w:r>
                    <w:t xml:space="preserve"> соф </w:t>
                  </w:r>
                  <w:proofErr w:type="spellStart"/>
                  <w:r>
                    <w:t>фойдаси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куйдагича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таксимлансин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Жамиятнинг</w:t>
                  </w:r>
                  <w:proofErr w:type="spellEnd"/>
                  <w:r>
                    <w:t xml:space="preserve"> 2021 </w:t>
                  </w:r>
                  <w:proofErr w:type="spellStart"/>
                  <w:r>
                    <w:t>йилга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мўлжалланган</w:t>
                  </w:r>
                  <w:proofErr w:type="spellEnd"/>
                  <w:r>
                    <w:t xml:space="preserve"> «Бизнес-</w:t>
                  </w:r>
                  <w:proofErr w:type="spellStart"/>
                  <w:r>
                    <w:t>режаси</w:t>
                  </w:r>
                  <w:proofErr w:type="spellEnd"/>
                  <w:r>
                    <w:t xml:space="preserve">», </w:t>
                  </w:r>
                  <w:proofErr w:type="spellStart"/>
                  <w:r>
                    <w:t>хамда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Даромадлар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харажатлар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сметаси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режаси</w:t>
                  </w:r>
                  <w:proofErr w:type="spellEnd"/>
                  <w:r>
                    <w:t xml:space="preserve">” </w:t>
                  </w:r>
                  <w:proofErr w:type="spellStart"/>
                  <w:r>
                    <w:t>тасдиқлансин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Нигматжанов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Махмуджон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Махамадалиевич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директори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мехнат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шартномасини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муддатини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акциядорнинг</w:t>
                  </w:r>
                  <w:proofErr w:type="spellEnd"/>
                  <w:r>
                    <w:t xml:space="preserve"> 2021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якуний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буйича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умумий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йигилишига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кадар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узайтирсин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Кузатув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кенгаши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аъзолигига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кумулятив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йўли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билан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  <w:r>
                    <w:t xml:space="preserve"> (628500 та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  <w:r>
                    <w:t xml:space="preserve"> (628500 та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), Ганиев </w:t>
                  </w:r>
                  <w:proofErr w:type="spellStart"/>
                  <w:r>
                    <w:t>Дилмурод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Иркинович</w:t>
                  </w:r>
                  <w:proofErr w:type="spellEnd"/>
                  <w:r>
                    <w:t xml:space="preserve"> (628500 та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Туляганов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Файзуллаевич</w:t>
                  </w:r>
                  <w:proofErr w:type="spellEnd"/>
                  <w:r>
                    <w:t xml:space="preserve"> (628500 та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Каримовичлар</w:t>
                  </w:r>
                  <w:proofErr w:type="spellEnd"/>
                  <w:r>
                    <w:t xml:space="preserve"> (628500 та </w:t>
                  </w:r>
                  <w:proofErr w:type="spellStart"/>
                  <w:r>
                    <w:t>овоз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сайлансин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Тафтиш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комиссиясига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қуйидагилар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сайлансин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Бойсинов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Жасур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Хасанович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Тошкент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шахар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Хокимлиги”Муниципал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 xml:space="preserve">” ДУК Бош </w:t>
                  </w:r>
                  <w:proofErr w:type="spellStart"/>
                  <w:r>
                    <w:t>мутахассиси</w:t>
                  </w:r>
                  <w:proofErr w:type="spellEnd"/>
                  <w:r>
                    <w:t xml:space="preserve"> Ибрагимова </w:t>
                  </w:r>
                  <w:proofErr w:type="spellStart"/>
                  <w:r>
                    <w:t>Гульчехра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Махкамовна</w:t>
                  </w:r>
                  <w:proofErr w:type="spellEnd"/>
                  <w:r>
                    <w:t xml:space="preserve"> – “</w:t>
                  </w:r>
                  <w:proofErr w:type="spellStart"/>
                  <w:r>
                    <w:t>Эски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жува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мутахассиси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Норхуджаев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Нозимходжа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Абдукодир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уғли</w:t>
                  </w:r>
                  <w:proofErr w:type="spellEnd"/>
                  <w:r>
                    <w:t xml:space="preserve"> – “</w:t>
                  </w:r>
                  <w:proofErr w:type="spellStart"/>
                  <w:r>
                    <w:t>Авиасозлар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деҳқон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бозори”АЖ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мутахассиси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Корпоратив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тизимини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баҳолаш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натижалари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қабул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қилинсин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жамият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ижроия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органига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аниқланган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камчиликларни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бартараф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этиш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вазифаси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юклатилсин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Жамиятнинг</w:t>
                  </w:r>
                  <w:proofErr w:type="spellEnd"/>
                  <w:r>
                    <w:t xml:space="preserve"> 2021 </w:t>
                  </w:r>
                  <w:proofErr w:type="spellStart"/>
                  <w:r>
                    <w:t>йил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фаолиятини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текшириш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учун</w:t>
                  </w:r>
                  <w:proofErr w:type="spellEnd"/>
                  <w:r>
                    <w:t xml:space="preserve"> «FTF-LEA-AUDIT» </w:t>
                  </w:r>
                  <w:proofErr w:type="spellStart"/>
                  <w:r>
                    <w:t>аудиторлик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ташкилоти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тайинлансин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энг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кўпи</w:t>
                  </w:r>
                  <w:proofErr w:type="spellEnd"/>
                  <w:r>
                    <w:t xml:space="preserve"> 7800,0 </w:t>
                  </w:r>
                  <w:proofErr w:type="spellStart"/>
                  <w:r>
                    <w:t>минг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сўм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хақи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белгилансин</w:t>
                  </w:r>
                  <w:proofErr w:type="spellEnd"/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roofErr w:type="spellStart"/>
                  <w:r>
                    <w:t>Жамиятнинг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янги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тахрирда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устави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тасдиклансин</w:t>
                  </w:r>
                  <w:proofErr w:type="spellEnd"/>
                </w:p>
              </w:tc>
            </w:tr>
          </w:tbl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B5" w:rsidRDefault="00CE27B5">
            <w:pPr>
              <w:rPr>
                <w:sz w:val="20"/>
                <w:szCs w:val="20"/>
              </w:rPr>
            </w:pPr>
          </w:p>
        </w:tc>
      </w:tr>
      <w:tr w:rsidR="00CE27B5" w:rsidTr="00CE27B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3558"/>
              <w:gridCol w:w="4988"/>
              <w:gridCol w:w="1564"/>
              <w:gridCol w:w="1172"/>
              <w:gridCol w:w="2157"/>
            </w:tblGrid>
            <w:tr w:rsidR="00CE27B5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Избрание членов наблюдательного совета:</w:t>
                  </w:r>
                </w:p>
              </w:tc>
            </w:tr>
            <w:tr w:rsidR="00CE27B5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Количество голосов:</w:t>
                  </w:r>
                </w:p>
              </w:tc>
            </w:tr>
            <w:tr w:rsidR="00CE27B5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27B5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CE27B5" w:rsidRDefault="00CE27B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Ирматов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Абдукахарович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Акбарходжаев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Лазизхон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Турапович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 xml:space="preserve">Ганиев </w:t>
                  </w:r>
                  <w:proofErr w:type="spellStart"/>
                  <w:r>
                    <w:t>Дилмурод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Иркинович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proofErr w:type="spellStart"/>
                  <w:r>
                    <w:t>Туляганов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Фарход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Файзул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</w:tr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 xml:space="preserve">Камолов </w:t>
                  </w:r>
                  <w:proofErr w:type="spellStart"/>
                  <w:r>
                    <w:t>Толмас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Каримович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 xml:space="preserve">«Муниципал </w:t>
                  </w:r>
                  <w:proofErr w:type="spellStart"/>
                  <w:r>
                    <w:t>активларни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бошқариш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маркази</w:t>
                  </w:r>
                  <w:proofErr w:type="spellEnd"/>
                  <w:r>
                    <w:t>» ДУК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jc w:val="center"/>
                  </w:pPr>
                  <w:r>
                    <w:t>628 500</w:t>
                  </w:r>
                </w:p>
              </w:tc>
            </w:tr>
          </w:tbl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B5" w:rsidRDefault="00CE27B5">
            <w:pPr>
              <w:rPr>
                <w:sz w:val="20"/>
                <w:szCs w:val="20"/>
              </w:rPr>
            </w:pPr>
          </w:p>
        </w:tc>
      </w:tr>
      <w:tr w:rsidR="00CE27B5" w:rsidTr="00CE27B5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90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92"/>
              <w:gridCol w:w="2413"/>
            </w:tblGrid>
            <w:tr w:rsidR="00CE27B5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pPr>
                    <w:rPr>
                      <w:sz w:val="24"/>
                      <w:szCs w:val="24"/>
                    </w:rPr>
                  </w:pPr>
                  <w:r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E27B5" w:rsidRDefault="00CE27B5">
                  <w:hyperlink r:id="rId6" w:history="1">
                    <w:r>
                      <w:rPr>
                        <w:rStyle w:val="a4"/>
                        <w:color w:val="337AB7"/>
                      </w:rPr>
                      <w:t>Загрузить</w:t>
                    </w:r>
                  </w:hyperlink>
                </w:p>
              </w:tc>
            </w:tr>
          </w:tbl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E27B5" w:rsidRDefault="00CE27B5">
            <w:pPr>
              <w:rPr>
                <w:sz w:val="20"/>
                <w:szCs w:val="20"/>
              </w:rPr>
            </w:pPr>
          </w:p>
        </w:tc>
      </w:tr>
    </w:tbl>
    <w:p w:rsidR="00CE27B5" w:rsidRDefault="00CE27B5" w:rsidP="00CE27B5">
      <w:pPr>
        <w:rPr>
          <w:vanish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9"/>
        <w:gridCol w:w="5376"/>
      </w:tblGrid>
      <w:tr w:rsidR="00CE27B5" w:rsidTr="00CE27B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Нигмаджанов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Махмуджон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Мухамадалиевич</w:t>
            </w:r>
            <w:proofErr w:type="spellEnd"/>
          </w:p>
        </w:tc>
      </w:tr>
      <w:tr w:rsidR="00CE27B5" w:rsidTr="00CE27B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Абдисаторова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Гульноза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Абдукахаровна</w:t>
            </w:r>
            <w:proofErr w:type="spellEnd"/>
          </w:p>
        </w:tc>
      </w:tr>
      <w:tr w:rsidR="00CE27B5" w:rsidTr="00CE27B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E27B5" w:rsidRDefault="00CE27B5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Самадов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Алишер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Абдуфаёзович</w:t>
            </w:r>
            <w:proofErr w:type="spellEnd"/>
          </w:p>
        </w:tc>
      </w:tr>
    </w:tbl>
    <w:p w:rsidR="00885C51" w:rsidRDefault="00885C51">
      <w:bookmarkStart w:id="0" w:name="_GoBack"/>
      <w:bookmarkEnd w:id="0"/>
    </w:p>
    <w:sectPr w:rsidR="00885C51" w:rsidSect="001379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AB"/>
    <w:rsid w:val="00137984"/>
    <w:rsid w:val="002867AB"/>
    <w:rsid w:val="0066490F"/>
    <w:rsid w:val="00885C51"/>
    <w:rsid w:val="00B52D2D"/>
    <w:rsid w:val="00C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64A1B-5EDF-4120-A7CC-C0D95EE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13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7984"/>
    <w:rPr>
      <w:b/>
      <w:bCs/>
    </w:rPr>
  </w:style>
  <w:style w:type="character" w:styleId="a4">
    <w:name w:val="Hyperlink"/>
    <w:basedOn w:val="a0"/>
    <w:uiPriority w:val="99"/>
    <w:semiHidden/>
    <w:unhideWhenUsed/>
    <w:rsid w:val="00137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F%D1%80%D0%BE%D1%82%D0%BE%D0%BA%D0%BE%D0%BB_%D0%9E%D0%A1%D0%90_14042021_GLR8FaD.pdf" TargetMode="External"/><Relationship Id="rId5" Type="http://schemas.openxmlformats.org/officeDocument/2006/relationships/hyperlink" Target="http://www.chorsubsk.uz/" TargetMode="External"/><Relationship Id="rId4" Type="http://schemas.openxmlformats.org/officeDocument/2006/relationships/hyperlink" Target="mailto:info@chorsubsk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Tolmos kamolov</dc:creator>
  <cp:keywords/>
  <dc:description/>
  <cp:lastModifiedBy>Tolmos kamolov</cp:lastModifiedBy>
  <cp:revision>5</cp:revision>
  <dcterms:created xsi:type="dcterms:W3CDTF">2022-11-05T12:23:00Z</dcterms:created>
  <dcterms:modified xsi:type="dcterms:W3CDTF">2022-11-05T12:30:00Z</dcterms:modified>
</cp:coreProperties>
</file>